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D4E" w:rsidRDefault="0002185E" w:rsidP="00DD15D9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</w:t>
      </w:r>
      <w:r w:rsidRPr="00090FE5">
        <w:rPr>
          <w:rFonts w:ascii="Arial" w:hAnsi="Arial"/>
          <w:sz w:val="18"/>
          <w:szCs w:val="18"/>
        </w:rPr>
        <w:tab/>
      </w:r>
      <w:r w:rsidR="00735D6C" w:rsidRPr="00090FE5">
        <w:rPr>
          <w:rFonts w:ascii="Arial" w:hAnsi="Arial"/>
          <w:sz w:val="18"/>
          <w:szCs w:val="18"/>
        </w:rPr>
        <w:tab/>
      </w:r>
    </w:p>
    <w:p w:rsidR="00E56BA7" w:rsidRPr="00E56BA7" w:rsidRDefault="00E56BA7" w:rsidP="00E56BA7">
      <w:pPr>
        <w:pBdr>
          <w:bottom w:val="single" w:sz="4" w:space="1" w:color="auto"/>
        </w:pBdr>
        <w:spacing w:line="360" w:lineRule="auto"/>
        <w:contextualSpacing/>
        <w:jc w:val="center"/>
        <w:rPr>
          <w:rFonts w:ascii="Calibri Light" w:hAnsi="Calibri Light"/>
          <w:i/>
          <w:spacing w:val="-10"/>
          <w:kern w:val="28"/>
          <w:sz w:val="32"/>
          <w:szCs w:val="56"/>
        </w:rPr>
      </w:pPr>
      <w:r w:rsidRPr="00E56BA7">
        <w:rPr>
          <w:rFonts w:ascii="Calibri Light" w:hAnsi="Calibri Light"/>
          <w:i/>
          <w:spacing w:val="-10"/>
          <w:kern w:val="28"/>
          <w:sz w:val="32"/>
          <w:szCs w:val="56"/>
        </w:rPr>
        <w:t>Seminário: Evolução e Futuro da Lei de Finanças das Regiões Autónomas</w:t>
      </w:r>
    </w:p>
    <w:p w:rsidR="00E56BA7" w:rsidRPr="00E56BA7" w:rsidRDefault="00E56BA7" w:rsidP="00E56BA7">
      <w:pPr>
        <w:pBdr>
          <w:bottom w:val="single" w:sz="4" w:space="1" w:color="auto"/>
        </w:pBdr>
        <w:spacing w:line="360" w:lineRule="auto"/>
        <w:contextualSpacing/>
        <w:jc w:val="center"/>
        <w:rPr>
          <w:rFonts w:ascii="Calibri Light" w:hAnsi="Calibri Light"/>
          <w:spacing w:val="-10"/>
          <w:kern w:val="28"/>
          <w:sz w:val="32"/>
          <w:szCs w:val="56"/>
        </w:rPr>
      </w:pPr>
      <w:r w:rsidRPr="00E56BA7">
        <w:rPr>
          <w:rFonts w:ascii="Calibri Light" w:hAnsi="Calibri Light"/>
          <w:spacing w:val="-10"/>
          <w:kern w:val="28"/>
          <w:sz w:val="32"/>
          <w:szCs w:val="56"/>
        </w:rPr>
        <w:t>21 de fevereiro de 2022</w:t>
      </w:r>
    </w:p>
    <w:p w:rsidR="004F7321" w:rsidRPr="00E56BA7" w:rsidRDefault="00E56BA7" w:rsidP="00E56BA7">
      <w:pPr>
        <w:pBdr>
          <w:bottom w:val="single" w:sz="4" w:space="1" w:color="auto"/>
        </w:pBdr>
        <w:spacing w:line="360" w:lineRule="auto"/>
        <w:contextualSpacing/>
        <w:jc w:val="center"/>
        <w:rPr>
          <w:rFonts w:ascii="Calibri Light" w:hAnsi="Calibri Light"/>
          <w:spacing w:val="-10"/>
          <w:kern w:val="28"/>
          <w:sz w:val="32"/>
          <w:szCs w:val="56"/>
        </w:rPr>
      </w:pPr>
      <w:r w:rsidRPr="00E56BA7">
        <w:rPr>
          <w:rFonts w:ascii="Calibri Light" w:hAnsi="Calibri Light"/>
          <w:spacing w:val="-10"/>
          <w:kern w:val="28"/>
          <w:sz w:val="32"/>
          <w:szCs w:val="56"/>
        </w:rPr>
        <w:t xml:space="preserve">Teatro </w:t>
      </w:r>
      <w:r w:rsidRPr="00E56BA7">
        <w:rPr>
          <w:rFonts w:ascii="Calibri Light" w:hAnsi="Calibri Light"/>
          <w:spacing w:val="-10"/>
          <w:kern w:val="28"/>
          <w:sz w:val="32"/>
          <w:szCs w:val="56"/>
        </w:rPr>
        <w:t>Micaelense</w:t>
      </w:r>
      <w:r>
        <w:rPr>
          <w:rFonts w:ascii="Calibri Light" w:hAnsi="Calibri Light"/>
          <w:spacing w:val="-10"/>
          <w:kern w:val="28"/>
          <w:sz w:val="32"/>
          <w:szCs w:val="56"/>
        </w:rPr>
        <w:t xml:space="preserve"> – </w:t>
      </w:r>
      <w:r w:rsidRPr="00E56BA7">
        <w:rPr>
          <w:rFonts w:ascii="Calibri Light" w:hAnsi="Calibri Light"/>
          <w:spacing w:val="-10"/>
          <w:kern w:val="28"/>
          <w:sz w:val="32"/>
          <w:szCs w:val="56"/>
        </w:rPr>
        <w:t>Ponta Delgada</w:t>
      </w:r>
    </w:p>
    <w:p w:rsidR="0074270C" w:rsidRPr="0074270C" w:rsidRDefault="0074270C" w:rsidP="0074270C">
      <w:pPr>
        <w:rPr>
          <w:rFonts w:cs="Helvetica"/>
          <w:color w:val="26282A"/>
          <w:sz w:val="20"/>
        </w:rPr>
      </w:pPr>
    </w:p>
    <w:p w:rsidR="00E56BA7" w:rsidRPr="00E56BA7" w:rsidRDefault="00E56BA7" w:rsidP="00E56BA7">
      <w:pPr>
        <w:spacing w:before="240" w:after="160" w:line="360" w:lineRule="auto"/>
        <w:jc w:val="both"/>
        <w:rPr>
          <w:rFonts w:cs="Helvetica"/>
          <w:color w:val="26282A"/>
        </w:rPr>
      </w:pPr>
      <w:r w:rsidRPr="00E56BA7">
        <w:rPr>
          <w:rFonts w:cs="Helvetica"/>
          <w:color w:val="26282A"/>
        </w:rPr>
        <w:t xml:space="preserve">Este Seminário insere-se no Plano de Atividades do Conselho Económico e Social dos Açores e resulta de uma proposta da nossa Comissão Permanente de Economia e Desenvolvimento, ratificada pela Comissão Coordenadora e apresentada em Plenário. </w:t>
      </w:r>
    </w:p>
    <w:p w:rsidR="00E56BA7" w:rsidRPr="00E56BA7" w:rsidRDefault="00E56BA7" w:rsidP="00E56BA7">
      <w:pPr>
        <w:spacing w:after="160" w:line="360" w:lineRule="auto"/>
        <w:jc w:val="both"/>
        <w:rPr>
          <w:rFonts w:cs="Helvetica"/>
          <w:color w:val="26282A"/>
        </w:rPr>
      </w:pPr>
      <w:r w:rsidRPr="00E56BA7">
        <w:rPr>
          <w:rFonts w:cs="Helvetica"/>
          <w:color w:val="26282A"/>
        </w:rPr>
        <w:t>A sua justificação e atualidade é inegável, e insere-se na nossa Missão de “fomentar o diálogo entre o poder político e a sociedade civil”, razão porque nos empenhamos em juntar neste Seminário os legítimos representantes dos Órgãos de Governo próprio da Madeira e dos Açores, os Parceiros Sociais das duas Regiões Autónomas da Madeira e dos Açores</w:t>
      </w:r>
      <w:r>
        <w:rPr>
          <w:rFonts w:cs="Helvetica"/>
          <w:color w:val="26282A"/>
        </w:rPr>
        <w:t>,</w:t>
      </w:r>
      <w:r w:rsidRPr="00E56BA7">
        <w:rPr>
          <w:rFonts w:cs="Helvetica"/>
          <w:color w:val="26282A"/>
        </w:rPr>
        <w:t xml:space="preserve"> e Técnicos de reconhecida competência e envolvidos no processo de criação da primeira Lei das Finanças Regionais e inclusivamente nas posteriores revisões a que foi sujeita, a que acresce a Presidente do Conselho Superior do Conselho das Finanças Públicas, um Órgão relevante para a avaliação da sustentabilidade de longo prazo das Finanças Públicas. </w:t>
      </w:r>
    </w:p>
    <w:p w:rsidR="00E56BA7" w:rsidRPr="00E56BA7" w:rsidRDefault="00E56BA7" w:rsidP="00E56BA7">
      <w:pPr>
        <w:spacing w:after="160" w:line="360" w:lineRule="auto"/>
        <w:jc w:val="both"/>
        <w:rPr>
          <w:rFonts w:cs="Helvetica"/>
          <w:color w:val="26282A"/>
        </w:rPr>
      </w:pPr>
      <w:r w:rsidRPr="00E56BA7">
        <w:rPr>
          <w:rFonts w:cs="Helvetica"/>
          <w:color w:val="26282A"/>
        </w:rPr>
        <w:t xml:space="preserve">É muito importante que a perspetiva histórica, a análise da atual Lei de Finanças, a sua avaliação e eventuais propostas que venham a ser feitas, tenha a participação dos Órgãos de Governo  próprio das duas Regiões Autónomas, envolva a sociedade civil da Madeira e dos Açores, respeite de uma forma transparente os diferentes graus de dimensão e profundidade da insularidade entre os dois arquipélagos, e numa fase posterior o Governo da República e a Assembleia da República, o que exige muito trabalho e concertação, condição indispensável para um processo de Revisão desta Lei, que não é uma Lei de Desenvolvimento Económico, Social, Cultural e Ambiental das Regiões Autónomas, mas sim uma Lei que regula a Solidariedade nos dois sentidos e estabelece regras para o relacionamento Financeiro entre o Estado Português e as duas Regiões Autónomas da Madeira e dos Açores, é pois um instrumento indispensável para que as Regiões Autónomas possam ser uma parte ativa na construção do Portugal Democrático, Solidário e Desenvolvido. </w:t>
      </w:r>
    </w:p>
    <w:p w:rsidR="00E56BA7" w:rsidRPr="00E56BA7" w:rsidRDefault="00E56BA7" w:rsidP="00E56BA7">
      <w:pPr>
        <w:spacing w:after="160" w:line="360" w:lineRule="auto"/>
        <w:jc w:val="both"/>
        <w:rPr>
          <w:rFonts w:cs="Helvetica"/>
          <w:color w:val="26282A"/>
        </w:rPr>
      </w:pPr>
      <w:r w:rsidRPr="00E56BA7">
        <w:rPr>
          <w:rFonts w:cs="Helvetica"/>
          <w:color w:val="26282A"/>
        </w:rPr>
        <w:lastRenderedPageBreak/>
        <w:t>Esta Lei</w:t>
      </w:r>
      <w:r>
        <w:rPr>
          <w:rFonts w:cs="Helvetica"/>
          <w:color w:val="26282A"/>
        </w:rPr>
        <w:t>,</w:t>
      </w:r>
      <w:r w:rsidRPr="00E56BA7">
        <w:rPr>
          <w:rFonts w:cs="Helvetica"/>
          <w:color w:val="26282A"/>
        </w:rPr>
        <w:t xml:space="preserve"> juntamente com a Constituição da República e os Estatutos Políticos e Administrativos das Regiões Autónomas</w:t>
      </w:r>
      <w:r>
        <w:rPr>
          <w:rFonts w:cs="Helvetica"/>
          <w:color w:val="26282A"/>
        </w:rPr>
        <w:t>,</w:t>
      </w:r>
      <w:r w:rsidRPr="00E56BA7">
        <w:rPr>
          <w:rFonts w:cs="Helvetica"/>
          <w:color w:val="26282A"/>
        </w:rPr>
        <w:t xml:space="preserve"> constituem o núcleo duro que regula a Autonomia Democrática da Madeira e dos Açores, estando pois os avanços, a estagnação e os retrocessos do processo das Autonomias fortemente correlacionados com este Tripé que urge defender e rever quando se torne indispensável para que os Povos Insulares da Madeira e dos Açores tenham acesso à convergência económica e social desde logo com o resto do País, mas também em relação á média do Países da União Económica e Monetária, a onde pertencemos por opção e direito próprio. A este propósito cito uma passagem do Parecer do Comité Económico e Social Europeu em que participaram os Presidentes dos Conselhos Económicos e Sociais das RUP sobre os benefícios das regiões ultraperiféricas (RUP) para a União Europeia e que a meu ver se aplica ao Estado Português, de que </w:t>
      </w:r>
      <w:r w:rsidRPr="00E56BA7">
        <w:rPr>
          <w:rFonts w:cs="Helvetica"/>
          <w:i/>
          <w:color w:val="26282A"/>
        </w:rPr>
        <w:t xml:space="preserve">“a Comissão tenha em conta o potencial considerável das RUP para o futuro da Europa </w:t>
      </w:r>
      <w:r>
        <w:rPr>
          <w:rFonts w:cs="Helvetica"/>
          <w:color w:val="26282A"/>
        </w:rPr>
        <w:t xml:space="preserve">– </w:t>
      </w:r>
      <w:r w:rsidRPr="00E56BA7">
        <w:rPr>
          <w:rFonts w:cs="Helvetica"/>
          <w:color w:val="26282A"/>
        </w:rPr>
        <w:t>acrescento eu</w:t>
      </w:r>
      <w:r>
        <w:rPr>
          <w:rFonts w:cs="Helvetica"/>
          <w:color w:val="26282A"/>
        </w:rPr>
        <w:t>,</w:t>
      </w:r>
      <w:r w:rsidRPr="00E56BA7">
        <w:rPr>
          <w:rFonts w:cs="Helvetica"/>
          <w:color w:val="26282A"/>
        </w:rPr>
        <w:t xml:space="preserve"> e para Portugal</w:t>
      </w:r>
      <w:r>
        <w:rPr>
          <w:rFonts w:cs="Helvetica"/>
          <w:color w:val="26282A"/>
        </w:rPr>
        <w:t xml:space="preserve"> –</w:t>
      </w:r>
      <w:r w:rsidRPr="00E56BA7">
        <w:rPr>
          <w:rFonts w:cs="Helvetica"/>
          <w:i/>
          <w:color w:val="26282A"/>
        </w:rPr>
        <w:t xml:space="preserve"> definindo-as como laboratórios para progressos à escala mundial (autonomia alimentar, e Energética da Europa, transição ecológica, turismo sustentável, inclusão social, participação das organizações da sociedade civil, </w:t>
      </w:r>
      <w:r w:rsidRPr="00E56BA7">
        <w:rPr>
          <w:rFonts w:cs="Helvetica"/>
          <w:i/>
          <w:color w:val="26282A"/>
        </w:rPr>
        <w:t>etc.</w:t>
      </w:r>
      <w:r w:rsidRPr="00E56BA7">
        <w:rPr>
          <w:rFonts w:cs="Helvetica"/>
          <w:i/>
          <w:color w:val="26282A"/>
        </w:rPr>
        <w:t>)”</w:t>
      </w:r>
      <w:r w:rsidRPr="00E56BA7">
        <w:rPr>
          <w:rFonts w:cs="Helvetica"/>
          <w:color w:val="26282A"/>
        </w:rPr>
        <w:t>.</w:t>
      </w:r>
    </w:p>
    <w:p w:rsidR="00E56BA7" w:rsidRPr="00E56BA7" w:rsidRDefault="00E56BA7" w:rsidP="00E56BA7">
      <w:pPr>
        <w:spacing w:after="160" w:line="360" w:lineRule="auto"/>
        <w:jc w:val="both"/>
        <w:rPr>
          <w:rFonts w:cs="Helvetica"/>
          <w:color w:val="26282A"/>
        </w:rPr>
      </w:pPr>
      <w:r w:rsidRPr="00E56BA7">
        <w:rPr>
          <w:rFonts w:cs="Helvetica"/>
          <w:color w:val="26282A"/>
        </w:rPr>
        <w:t>Tendo em conta este enquadramento, o facto da Lei das Finanças Públicas Regionais em vigor, enquanto instrumento financeiro para o cumprimento doas obrigações do Estado para com as Regiões Autónomas, e elemento definidor das relações financeiras, não estar a produzir resultados positivos em matéria de convergência, ao invés estar a conduzir a maiores níveis de endividamento, ter sido atualizada num contexto de forte constrangimento das finanças públicas portuguesas, de um programa de estabilidade e crescimento desajustado em relação às Regiões Autónomas e</w:t>
      </w:r>
      <w:r>
        <w:rPr>
          <w:rFonts w:cs="Helvetica"/>
          <w:color w:val="26282A"/>
        </w:rPr>
        <w:t>,</w:t>
      </w:r>
      <w:r w:rsidRPr="00E56BA7">
        <w:rPr>
          <w:rFonts w:cs="Helvetica"/>
          <w:color w:val="26282A"/>
        </w:rPr>
        <w:t xml:space="preserve"> diria mesmo</w:t>
      </w:r>
      <w:r>
        <w:rPr>
          <w:rFonts w:cs="Helvetica"/>
          <w:color w:val="26282A"/>
        </w:rPr>
        <w:t>,</w:t>
      </w:r>
      <w:r w:rsidRPr="00E56BA7">
        <w:rPr>
          <w:rFonts w:cs="Helvetica"/>
          <w:color w:val="26282A"/>
        </w:rPr>
        <w:t xml:space="preserve"> em relação ao País, com um pendor fortemente centralista, as Regiões Autónomas terem de assegurar crescentes encargos com as funções Sociais que cabem ao Estado, mas que na Madeira e nos Açores, e bem, são da Responsabilidade dos Governos Regionais, importa proceder a uma Revisão desta Lei e designadamente no capítulo das Transferências do Estado, revendo a sua metodologia, introduzindo também variáveis de convergência económica, de natureza social e para além das Demográficas, e definindo um prazo para vigorar de novo a norma de que as Transferências do Estado do ano T não possam ser inferiores às do ano T-1.</w:t>
      </w:r>
    </w:p>
    <w:p w:rsidR="00E56BA7" w:rsidRPr="00E56BA7" w:rsidRDefault="00E56BA7" w:rsidP="00E56BA7">
      <w:pPr>
        <w:spacing w:after="160" w:line="360" w:lineRule="auto"/>
        <w:jc w:val="both"/>
        <w:rPr>
          <w:rFonts w:cs="Helvetica"/>
          <w:color w:val="26282A"/>
        </w:rPr>
      </w:pPr>
      <w:r w:rsidRPr="00E56BA7">
        <w:rPr>
          <w:rFonts w:cs="Helvetica"/>
          <w:color w:val="26282A"/>
        </w:rPr>
        <w:t>O capítulo da Divida Pública também merce ser revisitado.</w:t>
      </w:r>
    </w:p>
    <w:p w:rsidR="00E56BA7" w:rsidRPr="00E56BA7" w:rsidRDefault="00E56BA7" w:rsidP="00E56BA7">
      <w:pPr>
        <w:spacing w:after="160" w:line="360" w:lineRule="auto"/>
        <w:jc w:val="both"/>
        <w:rPr>
          <w:rFonts w:cs="Helvetica"/>
          <w:color w:val="26282A"/>
        </w:rPr>
      </w:pPr>
      <w:r w:rsidRPr="00E56BA7">
        <w:rPr>
          <w:rFonts w:cs="Helvetica"/>
          <w:color w:val="26282A"/>
        </w:rPr>
        <w:lastRenderedPageBreak/>
        <w:t>Um outro artigo que precisa ser analisado e tirar conclusões do porquê da sua não concretização e insucesso é o que se refere aos Projetos de interesse comum, que no caso dos Açores tem uma realização pura e simplesmente não existente, quando existem Projetos nas Acessibilidades, na Área do Mar, do Clima, e tantos outros que podiam ter sido desenvolvidos.</w:t>
      </w:r>
    </w:p>
    <w:p w:rsidR="00E56BA7" w:rsidRPr="00E56BA7" w:rsidRDefault="00E56BA7" w:rsidP="00E56BA7">
      <w:pPr>
        <w:spacing w:after="160" w:line="360" w:lineRule="auto"/>
        <w:jc w:val="both"/>
        <w:rPr>
          <w:rFonts w:cs="Helvetica"/>
          <w:color w:val="26282A"/>
        </w:rPr>
      </w:pPr>
      <w:r w:rsidRPr="00E56BA7">
        <w:rPr>
          <w:rFonts w:cs="Helvetica"/>
          <w:color w:val="26282A"/>
        </w:rPr>
        <w:t>Deixo aqui apenas alguns exemplos, mas certamente os Conferencistas deste oportuno Seminário saberão desenvolver e formular as propostas mais acertadas para um processo de Revisão que urge desencadear e que sirva as Regiões Autónomas e consequentemente Portugal.</w:t>
      </w:r>
    </w:p>
    <w:p w:rsidR="00E56BA7" w:rsidRPr="00E56BA7" w:rsidRDefault="00E56BA7" w:rsidP="00E56BA7">
      <w:pPr>
        <w:spacing w:after="160" w:line="360" w:lineRule="auto"/>
        <w:jc w:val="both"/>
        <w:rPr>
          <w:rFonts w:cs="Helvetica"/>
          <w:color w:val="26282A"/>
        </w:rPr>
      </w:pPr>
      <w:r w:rsidRPr="00E56BA7">
        <w:rPr>
          <w:rFonts w:cs="Helvetica"/>
          <w:color w:val="26282A"/>
        </w:rPr>
        <w:t>Termino agradecendo em nome do Concelho Económico e Social dos Açores</w:t>
      </w:r>
      <w:bookmarkStart w:id="0" w:name="_GoBack"/>
      <w:bookmarkEnd w:id="0"/>
      <w:r w:rsidRPr="00E56BA7">
        <w:rPr>
          <w:rFonts w:cs="Helvetica"/>
          <w:color w:val="26282A"/>
        </w:rPr>
        <w:t xml:space="preserve"> ao</w:t>
      </w:r>
      <w:r>
        <w:rPr>
          <w:rFonts w:cs="Helvetica"/>
          <w:color w:val="26282A"/>
        </w:rPr>
        <w:t xml:space="preserve"> Presidente da Assembleia Legislativa da Região Autónoma dos Açores, ao</w:t>
      </w:r>
      <w:r w:rsidRPr="00E56BA7">
        <w:rPr>
          <w:rFonts w:cs="Helvetica"/>
          <w:color w:val="26282A"/>
        </w:rPr>
        <w:t xml:space="preserve"> Presidente do Governo dos Açores, aos Representantes das Assembleias Legislativas das Regiões Autónomas da Madeira e dos Açores, aos membros dos Governos Regionais, à Senhora Presidente do Conselho Superior do Conselho Superior das Finanças Públicas, ao Presidente do Conselho Económico e Social e da Concertação Social da Região Autónoma da Madeira, aos Parceiros Sociais, aos restantes Conferencistas, aos participantes, dando um destaque especial para os  Juízes Presidentes da Secção Regional do Tribunal de Contas e do Tribunal Judicial da Comarca dos Açores</w:t>
      </w:r>
      <w:r>
        <w:rPr>
          <w:rFonts w:cs="Helvetica"/>
          <w:color w:val="26282A"/>
        </w:rPr>
        <w:t>,</w:t>
      </w:r>
      <w:r w:rsidRPr="00E56BA7">
        <w:rPr>
          <w:rFonts w:cs="Helvetica"/>
          <w:color w:val="26282A"/>
        </w:rPr>
        <w:t xml:space="preserve"> e cuja presença é um incentivo para prosseguirmos a nossa Missão com independência e ao Serviço da Concertação Social e Estratégica dos Açores.</w:t>
      </w:r>
    </w:p>
    <w:p w:rsidR="00E56BA7" w:rsidRPr="00E56BA7" w:rsidRDefault="00E56BA7" w:rsidP="00E56BA7">
      <w:pPr>
        <w:spacing w:after="160" w:line="360" w:lineRule="auto"/>
        <w:jc w:val="both"/>
        <w:rPr>
          <w:rFonts w:cs="Helvetica"/>
          <w:color w:val="26282A"/>
        </w:rPr>
      </w:pPr>
    </w:p>
    <w:p w:rsidR="0008169F" w:rsidRPr="00E56BA7" w:rsidRDefault="00E56BA7" w:rsidP="00E56BA7">
      <w:pPr>
        <w:spacing w:after="160" w:line="360" w:lineRule="auto"/>
        <w:jc w:val="both"/>
        <w:rPr>
          <w:rFonts w:cs="Helvetica"/>
          <w:color w:val="26282A"/>
        </w:rPr>
      </w:pPr>
      <w:r w:rsidRPr="00E56BA7">
        <w:rPr>
          <w:rFonts w:cs="Helvetica"/>
          <w:color w:val="26282A"/>
        </w:rPr>
        <w:t>Gualter Furtado – Presidente do Conselho Económico e Social dos Açores</w:t>
      </w:r>
    </w:p>
    <w:sectPr w:rsidR="0008169F" w:rsidRPr="00E56BA7" w:rsidSect="00E56BA7">
      <w:headerReference w:type="default" r:id="rId7"/>
      <w:footerReference w:type="default" r:id="rId8"/>
      <w:pgSz w:w="11880" w:h="16820"/>
      <w:pgMar w:top="885" w:right="1107" w:bottom="851" w:left="1418" w:header="720" w:footer="3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031" w:rsidRDefault="00B05031">
      <w:r>
        <w:separator/>
      </w:r>
    </w:p>
  </w:endnote>
  <w:endnote w:type="continuationSeparator" w:id="0">
    <w:p w:rsidR="00B05031" w:rsidRDefault="00B05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FE5" w:rsidRPr="00090FE5" w:rsidRDefault="00090FE5" w:rsidP="0002185E">
    <w:pPr>
      <w:pStyle w:val="Rodap"/>
      <w:tabs>
        <w:tab w:val="left" w:pos="708"/>
      </w:tabs>
      <w:jc w:val="center"/>
      <w:rPr>
        <w:rFonts w:ascii="Calibri" w:hAnsi="Calibri"/>
        <w:sz w:val="6"/>
        <w:szCs w:val="6"/>
      </w:rPr>
    </w:pPr>
  </w:p>
  <w:p w:rsidR="00582EDE" w:rsidRDefault="00582EDE" w:rsidP="00582EDE">
    <w:pPr>
      <w:pStyle w:val="Rodap"/>
      <w:tabs>
        <w:tab w:val="clear" w:pos="4252"/>
        <w:tab w:val="clear" w:pos="8504"/>
      </w:tabs>
      <w:ind w:left="284" w:right="426"/>
      <w:jc w:val="center"/>
      <w:rPr>
        <w:sz w:val="16"/>
      </w:rPr>
    </w:pPr>
  </w:p>
  <w:p w:rsidR="00146CA2" w:rsidRDefault="00146CA2" w:rsidP="0002185E">
    <w:pPr>
      <w:pStyle w:val="Rodap"/>
      <w:tabs>
        <w:tab w:val="clear" w:pos="4252"/>
        <w:tab w:val="clear" w:pos="8504"/>
      </w:tabs>
      <w:ind w:left="284" w:right="426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031" w:rsidRDefault="00B05031">
      <w:r>
        <w:separator/>
      </w:r>
    </w:p>
  </w:footnote>
  <w:footnote w:type="continuationSeparator" w:id="0">
    <w:p w:rsidR="00B05031" w:rsidRDefault="00B05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CA2" w:rsidRDefault="00E56BA7" w:rsidP="00E56BA7">
    <w:pPr>
      <w:pStyle w:val="Cabealho"/>
      <w:tabs>
        <w:tab w:val="clear" w:pos="4252"/>
        <w:tab w:val="clear" w:pos="8504"/>
        <w:tab w:val="center" w:pos="4536"/>
        <w:tab w:val="right" w:pos="9072"/>
      </w:tabs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posOffset>2713990</wp:posOffset>
          </wp:positionH>
          <wp:positionV relativeFrom="paragraph">
            <wp:posOffset>7620</wp:posOffset>
          </wp:positionV>
          <wp:extent cx="379095" cy="380365"/>
          <wp:effectExtent l="0" t="0" r="0" b="0"/>
          <wp:wrapTopAndBottom/>
          <wp:docPr id="16" name="Imagem 16" descr="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95" cy="38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6CA2" w:rsidRDefault="00146CA2" w:rsidP="0074270C">
    <w:pPr>
      <w:pStyle w:val="Cabealho"/>
      <w:tabs>
        <w:tab w:val="clear" w:pos="4252"/>
        <w:tab w:val="clear" w:pos="8504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REGIÃO AUTÓNOMA DOS AÇORES</w:t>
    </w:r>
  </w:p>
  <w:p w:rsidR="00146CA2" w:rsidRDefault="00146CA2" w:rsidP="0074270C">
    <w:pPr>
      <w:pStyle w:val="Cabealho"/>
      <w:tabs>
        <w:tab w:val="clear" w:pos="4252"/>
        <w:tab w:val="clear" w:pos="8504"/>
      </w:tabs>
      <w:jc w:val="center"/>
      <w:rPr>
        <w:rFonts w:ascii="Arial" w:hAnsi="Arial"/>
        <w:b/>
        <w:sz w:val="18"/>
      </w:rPr>
    </w:pPr>
    <w:r>
      <w:rPr>
        <w:rFonts w:ascii="Arial" w:hAnsi="Arial"/>
        <w:b/>
        <w:sz w:val="18"/>
      </w:rPr>
      <w:t xml:space="preserve">CONSELHO </w:t>
    </w:r>
    <w:r w:rsidR="00523F7F">
      <w:rPr>
        <w:rFonts w:ascii="Arial" w:hAnsi="Arial"/>
        <w:b/>
        <w:sz w:val="18"/>
      </w:rPr>
      <w:t>ECONÓMICO E SOCIAL DOS AÇORES</w:t>
    </w:r>
  </w:p>
  <w:p w:rsidR="00A1248F" w:rsidRDefault="00A1248F" w:rsidP="0074270C">
    <w:pPr>
      <w:pStyle w:val="Cabealho"/>
      <w:tabs>
        <w:tab w:val="clear" w:pos="4252"/>
        <w:tab w:val="clear" w:pos="8504"/>
      </w:tabs>
      <w:jc w:val="center"/>
      <w:rPr>
        <w:rFonts w:ascii="Arial" w:hAnsi="Arial"/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D29"/>
    <w:multiLevelType w:val="hybridMultilevel"/>
    <w:tmpl w:val="EC1236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6B89"/>
    <w:multiLevelType w:val="hybridMultilevel"/>
    <w:tmpl w:val="951829A2"/>
    <w:lvl w:ilvl="0" w:tplc="1E04CC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3716F9"/>
    <w:multiLevelType w:val="hybridMultilevel"/>
    <w:tmpl w:val="0846B8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1104E"/>
    <w:multiLevelType w:val="hybridMultilevel"/>
    <w:tmpl w:val="0994CC2A"/>
    <w:lvl w:ilvl="0" w:tplc="27344FAC">
      <w:start w:val="1"/>
      <w:numFmt w:val="bullet"/>
      <w:lvlText w:val=""/>
      <w:lvlJc w:val="left"/>
      <w:pPr>
        <w:tabs>
          <w:tab w:val="num" w:pos="861"/>
        </w:tabs>
        <w:ind w:left="861" w:hanging="360"/>
      </w:pPr>
      <w:rPr>
        <w:rFonts w:ascii="Symbol" w:hAnsi="Symbol" w:hint="default"/>
        <w:b w:val="0"/>
        <w:sz w:val="12"/>
        <w:szCs w:val="12"/>
      </w:rPr>
    </w:lvl>
    <w:lvl w:ilvl="1" w:tplc="08160003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8160005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816000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8160003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816000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816000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8160003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8160005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4" w15:restartNumberingAfterBreak="0">
    <w:nsid w:val="4DE74D43"/>
    <w:multiLevelType w:val="hybridMultilevel"/>
    <w:tmpl w:val="3A16DEB4"/>
    <w:lvl w:ilvl="0" w:tplc="9BA469E0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9C5F5D"/>
    <w:multiLevelType w:val="hybridMultilevel"/>
    <w:tmpl w:val="1AF8E8EA"/>
    <w:lvl w:ilvl="0" w:tplc="7CECF41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ED01C8"/>
    <w:multiLevelType w:val="hybridMultilevel"/>
    <w:tmpl w:val="6BA05CA0"/>
    <w:lvl w:ilvl="0" w:tplc="4A40D91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9757CA"/>
    <w:multiLevelType w:val="hybridMultilevel"/>
    <w:tmpl w:val="3F6EC88C"/>
    <w:lvl w:ilvl="0" w:tplc="10025F9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0A7BB9"/>
    <w:multiLevelType w:val="hybridMultilevel"/>
    <w:tmpl w:val="CF4E9A82"/>
    <w:lvl w:ilvl="0" w:tplc="58DE90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5E"/>
    <w:rsid w:val="00002961"/>
    <w:rsid w:val="0000581E"/>
    <w:rsid w:val="0002185E"/>
    <w:rsid w:val="00056B1E"/>
    <w:rsid w:val="00060AA3"/>
    <w:rsid w:val="000740B0"/>
    <w:rsid w:val="0008169F"/>
    <w:rsid w:val="00087BE6"/>
    <w:rsid w:val="000907B7"/>
    <w:rsid w:val="00090FE5"/>
    <w:rsid w:val="000B541C"/>
    <w:rsid w:val="000B7089"/>
    <w:rsid w:val="000C008C"/>
    <w:rsid w:val="000C511D"/>
    <w:rsid w:val="000D263E"/>
    <w:rsid w:val="00143225"/>
    <w:rsid w:val="001456DC"/>
    <w:rsid w:val="00146CA2"/>
    <w:rsid w:val="00181136"/>
    <w:rsid w:val="00193570"/>
    <w:rsid w:val="001968D3"/>
    <w:rsid w:val="001C6C92"/>
    <w:rsid w:val="001D038D"/>
    <w:rsid w:val="001D2E91"/>
    <w:rsid w:val="002052D0"/>
    <w:rsid w:val="00216B93"/>
    <w:rsid w:val="00242A19"/>
    <w:rsid w:val="00283939"/>
    <w:rsid w:val="00292E77"/>
    <w:rsid w:val="002A18E3"/>
    <w:rsid w:val="002A4444"/>
    <w:rsid w:val="002C0398"/>
    <w:rsid w:val="0031055F"/>
    <w:rsid w:val="00311DA0"/>
    <w:rsid w:val="00341ED2"/>
    <w:rsid w:val="003624A3"/>
    <w:rsid w:val="003663B1"/>
    <w:rsid w:val="00373021"/>
    <w:rsid w:val="00393F6B"/>
    <w:rsid w:val="003B2A38"/>
    <w:rsid w:val="003E11BB"/>
    <w:rsid w:val="003E39EF"/>
    <w:rsid w:val="003F1E9E"/>
    <w:rsid w:val="00402755"/>
    <w:rsid w:val="00415AF1"/>
    <w:rsid w:val="00426756"/>
    <w:rsid w:val="00467B55"/>
    <w:rsid w:val="00484CF4"/>
    <w:rsid w:val="004A35A6"/>
    <w:rsid w:val="004B57EF"/>
    <w:rsid w:val="004F7321"/>
    <w:rsid w:val="005107FD"/>
    <w:rsid w:val="00521D3C"/>
    <w:rsid w:val="00523F7F"/>
    <w:rsid w:val="00550B54"/>
    <w:rsid w:val="00563922"/>
    <w:rsid w:val="005641E1"/>
    <w:rsid w:val="00582EDE"/>
    <w:rsid w:val="005A56C7"/>
    <w:rsid w:val="005C4310"/>
    <w:rsid w:val="005C69C6"/>
    <w:rsid w:val="005D74E2"/>
    <w:rsid w:val="00612ED0"/>
    <w:rsid w:val="00620E0E"/>
    <w:rsid w:val="0062530C"/>
    <w:rsid w:val="006A1D97"/>
    <w:rsid w:val="006A7D92"/>
    <w:rsid w:val="006B030F"/>
    <w:rsid w:val="006B08BF"/>
    <w:rsid w:val="006F4D4E"/>
    <w:rsid w:val="007166FC"/>
    <w:rsid w:val="00735D6C"/>
    <w:rsid w:val="00740CC4"/>
    <w:rsid w:val="0074270C"/>
    <w:rsid w:val="00743AC9"/>
    <w:rsid w:val="00745683"/>
    <w:rsid w:val="00776D92"/>
    <w:rsid w:val="00782FD6"/>
    <w:rsid w:val="007848A8"/>
    <w:rsid w:val="007872DA"/>
    <w:rsid w:val="007A6375"/>
    <w:rsid w:val="007C33CB"/>
    <w:rsid w:val="007E3CD6"/>
    <w:rsid w:val="00834F69"/>
    <w:rsid w:val="00836F28"/>
    <w:rsid w:val="008D3664"/>
    <w:rsid w:val="008D51EC"/>
    <w:rsid w:val="0091111A"/>
    <w:rsid w:val="009209D3"/>
    <w:rsid w:val="00947044"/>
    <w:rsid w:val="00947F7B"/>
    <w:rsid w:val="00953713"/>
    <w:rsid w:val="00961E62"/>
    <w:rsid w:val="00970906"/>
    <w:rsid w:val="00980337"/>
    <w:rsid w:val="00987F71"/>
    <w:rsid w:val="009B42D1"/>
    <w:rsid w:val="009B5CA9"/>
    <w:rsid w:val="009D5537"/>
    <w:rsid w:val="009F1C0A"/>
    <w:rsid w:val="00A1248F"/>
    <w:rsid w:val="00A15010"/>
    <w:rsid w:val="00A24538"/>
    <w:rsid w:val="00A433DC"/>
    <w:rsid w:val="00A529ED"/>
    <w:rsid w:val="00A64631"/>
    <w:rsid w:val="00A80632"/>
    <w:rsid w:val="00A92FDD"/>
    <w:rsid w:val="00AE03C9"/>
    <w:rsid w:val="00AE0880"/>
    <w:rsid w:val="00AE3BAB"/>
    <w:rsid w:val="00AE4CD2"/>
    <w:rsid w:val="00AF0A22"/>
    <w:rsid w:val="00AF3B7A"/>
    <w:rsid w:val="00B01921"/>
    <w:rsid w:val="00B05031"/>
    <w:rsid w:val="00B334EF"/>
    <w:rsid w:val="00B60C7C"/>
    <w:rsid w:val="00B6304F"/>
    <w:rsid w:val="00B75B01"/>
    <w:rsid w:val="00B86B6C"/>
    <w:rsid w:val="00B94712"/>
    <w:rsid w:val="00BA456C"/>
    <w:rsid w:val="00BE564E"/>
    <w:rsid w:val="00BE5906"/>
    <w:rsid w:val="00C30B79"/>
    <w:rsid w:val="00C430E9"/>
    <w:rsid w:val="00C74E10"/>
    <w:rsid w:val="00C934D2"/>
    <w:rsid w:val="00C97D29"/>
    <w:rsid w:val="00CA4003"/>
    <w:rsid w:val="00CE0FAF"/>
    <w:rsid w:val="00D240AB"/>
    <w:rsid w:val="00D26AA8"/>
    <w:rsid w:val="00D30280"/>
    <w:rsid w:val="00D40DA0"/>
    <w:rsid w:val="00D71169"/>
    <w:rsid w:val="00D77211"/>
    <w:rsid w:val="00D84E70"/>
    <w:rsid w:val="00D94316"/>
    <w:rsid w:val="00DC259F"/>
    <w:rsid w:val="00DC3671"/>
    <w:rsid w:val="00DD15D9"/>
    <w:rsid w:val="00E33F8D"/>
    <w:rsid w:val="00E56BA7"/>
    <w:rsid w:val="00E57AB9"/>
    <w:rsid w:val="00E66C8F"/>
    <w:rsid w:val="00E95122"/>
    <w:rsid w:val="00EA4C9E"/>
    <w:rsid w:val="00EA5BA5"/>
    <w:rsid w:val="00EC4BC6"/>
    <w:rsid w:val="00F34E37"/>
    <w:rsid w:val="00F43026"/>
    <w:rsid w:val="00F504BE"/>
    <w:rsid w:val="00F81EE0"/>
    <w:rsid w:val="00FA50B3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90FF7A1"/>
  <w15:chartTrackingRefBased/>
  <w15:docId w15:val="{8B6EFDF2-F367-49FB-875D-957D5901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2185E"/>
    <w:rPr>
      <w:rFonts w:ascii="Helvetica" w:hAnsi="Helvetica"/>
      <w:sz w:val="24"/>
    </w:rPr>
  </w:style>
  <w:style w:type="paragraph" w:styleId="Ttulo3">
    <w:name w:val="heading 3"/>
    <w:basedOn w:val="Normal"/>
    <w:next w:val="Normal"/>
    <w:qFormat/>
    <w:rsid w:val="0002185E"/>
    <w:pPr>
      <w:keepNext/>
      <w:tabs>
        <w:tab w:val="left" w:pos="1780"/>
        <w:tab w:val="left" w:pos="4580"/>
        <w:tab w:val="left" w:pos="9759"/>
      </w:tabs>
      <w:spacing w:line="360" w:lineRule="auto"/>
      <w:ind w:left="5245" w:right="1559"/>
      <w:outlineLvl w:val="2"/>
    </w:pPr>
    <w:rPr>
      <w:rFonts w:ascii="Arial" w:hAnsi="Arial"/>
      <w:b/>
      <w:sz w:val="16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02185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02185E"/>
    <w:pPr>
      <w:tabs>
        <w:tab w:val="center" w:pos="4252"/>
        <w:tab w:val="right" w:pos="8504"/>
      </w:tabs>
    </w:pPr>
  </w:style>
  <w:style w:type="paragraph" w:styleId="Avanodecorpodetexto2">
    <w:name w:val="Body Text Indent 2"/>
    <w:basedOn w:val="Normal"/>
    <w:rsid w:val="0002185E"/>
    <w:pPr>
      <w:tabs>
        <w:tab w:val="left" w:pos="2835"/>
        <w:tab w:val="left" w:pos="5670"/>
        <w:tab w:val="left" w:pos="8505"/>
      </w:tabs>
      <w:ind w:left="284"/>
      <w:jc w:val="both"/>
    </w:pPr>
    <w:rPr>
      <w:rFonts w:ascii="Arial" w:hAnsi="Arial"/>
      <w:sz w:val="16"/>
    </w:rPr>
  </w:style>
  <w:style w:type="paragraph" w:styleId="Textodebalo">
    <w:name w:val="Balloon Text"/>
    <w:basedOn w:val="Normal"/>
    <w:semiHidden/>
    <w:rsid w:val="002C0398"/>
    <w:rPr>
      <w:rFonts w:ascii="Tahoma" w:hAnsi="Tahoma" w:cs="Tahoma"/>
      <w:sz w:val="16"/>
      <w:szCs w:val="16"/>
    </w:rPr>
  </w:style>
  <w:style w:type="character" w:customStyle="1" w:styleId="texto">
    <w:name w:val="texto"/>
    <w:basedOn w:val="Tipodeletrapredefinidodopargrafo"/>
    <w:rsid w:val="00090FE5"/>
  </w:style>
  <w:style w:type="character" w:styleId="Hiperligao">
    <w:name w:val="Hyperlink"/>
    <w:rsid w:val="00090F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Governo Regional dos Açores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MD198430</dc:creator>
  <cp:keywords/>
  <cp:lastModifiedBy>Renato FMLA. Medeiros</cp:lastModifiedBy>
  <cp:revision>2</cp:revision>
  <cp:lastPrinted>2019-09-02T16:10:00Z</cp:lastPrinted>
  <dcterms:created xsi:type="dcterms:W3CDTF">2022-02-15T17:16:00Z</dcterms:created>
  <dcterms:modified xsi:type="dcterms:W3CDTF">2022-02-15T17:16:00Z</dcterms:modified>
</cp:coreProperties>
</file>